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A" w:rsidRPr="00EC60BA" w:rsidRDefault="00A56596" w:rsidP="00EC60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НИЖНЕУДИНСКИЙ МУНИЦИПАЛЬНЫЙ РАЙОН</w:t>
      </w:r>
    </w:p>
    <w:p w:rsidR="00EC60BA" w:rsidRPr="00EC60BA" w:rsidRDefault="00A56596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ТОФАЛАРСКОЕ</w:t>
      </w:r>
      <w:r w:rsidR="00EC60BA" w:rsidRPr="00EC60B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A565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ТОФАЛАРСКОГО</w:t>
      </w: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0BA" w:rsidRPr="00EC60BA" w:rsidRDefault="006B159C" w:rsidP="00EC60BA">
      <w:pPr>
        <w:pStyle w:val="ConsPlusNormal0"/>
        <w:ind w:firstLine="709"/>
        <w:jc w:val="both"/>
        <w:rPr>
          <w:sz w:val="28"/>
          <w:szCs w:val="28"/>
        </w:rPr>
      </w:pPr>
      <w:r w:rsidRPr="00085B72">
        <w:rPr>
          <w:color w:val="000000"/>
          <w:sz w:val="28"/>
          <w:szCs w:val="28"/>
        </w:rPr>
        <w:t>В соответствии с частью 10 статьи 35, статьей 45</w:t>
      </w:r>
      <w:r w:rsidRPr="00085B72">
        <w:rPr>
          <w:color w:val="000000"/>
          <w:sz w:val="28"/>
          <w:szCs w:val="28"/>
          <w:vertAlign w:val="superscript"/>
        </w:rPr>
        <w:t>1</w:t>
      </w:r>
      <w:r w:rsidRPr="00085B72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color w:val="000000"/>
          <w:sz w:val="28"/>
          <w:szCs w:val="28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B159C">
        <w:rPr>
          <w:color w:val="000000"/>
          <w:sz w:val="28"/>
          <w:szCs w:val="28"/>
        </w:rPr>
        <w:t>пр</w:t>
      </w:r>
      <w:proofErr w:type="spellEnd"/>
      <w:proofErr w:type="gramEnd"/>
      <w:r w:rsidRPr="006B159C">
        <w:rPr>
          <w:color w:val="000000"/>
          <w:sz w:val="28"/>
          <w:szCs w:val="28"/>
        </w:rPr>
        <w:t xml:space="preserve">, руководствуясь Уставом </w:t>
      </w:r>
      <w:proofErr w:type="spellStart"/>
      <w:r w:rsidR="00A56596">
        <w:rPr>
          <w:sz w:val="28"/>
          <w:szCs w:val="28"/>
        </w:rPr>
        <w:t>Тофаларского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образования, Дума </w:t>
      </w:r>
      <w:proofErr w:type="spellStart"/>
      <w:r w:rsidR="00A56596">
        <w:rPr>
          <w:sz w:val="28"/>
          <w:szCs w:val="28"/>
        </w:rPr>
        <w:t>Тофаларского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</w:t>
      </w: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  <w:r w:rsidRPr="00EC60BA">
        <w:rPr>
          <w:b/>
          <w:sz w:val="28"/>
          <w:szCs w:val="28"/>
        </w:rPr>
        <w:t>РЕШИЛА:</w:t>
      </w:r>
    </w:p>
    <w:p w:rsidR="00EC60BA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EC60BA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 w:rsidR="00A56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Тофаларского</w:t>
      </w:r>
      <w:proofErr w:type="spellEnd"/>
      <w:r w:rsidR="00EC60BA" w:rsidRPr="00EC6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EC60BA" w:rsidRPr="00A56596" w:rsidRDefault="006B159C" w:rsidP="00EC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9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hyperlink r:id="rId8" w:history="1">
        <w:r w:rsidR="00EC60BA" w:rsidRPr="00A5659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 w:rsidR="00EC60BA" w:rsidRPr="00A5659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A56596" w:rsidRPr="00A56596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EC60BA" w:rsidRPr="00A565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A56596" w:rsidRPr="00A56596">
        <w:rPr>
          <w:rFonts w:ascii="Times New Roman" w:hAnsi="Times New Roman" w:cs="Times New Roman"/>
          <w:sz w:val="28"/>
          <w:szCs w:val="28"/>
        </w:rPr>
        <w:t>02.03.2022 г. №15</w:t>
      </w:r>
      <w:r w:rsidR="00EC60BA" w:rsidRPr="00A56596">
        <w:rPr>
          <w:rFonts w:ascii="Times New Roman" w:hAnsi="Times New Roman" w:cs="Times New Roman"/>
          <w:sz w:val="28"/>
          <w:szCs w:val="28"/>
        </w:rPr>
        <w:t xml:space="preserve"> «</w:t>
      </w:r>
      <w:r w:rsidR="00EC60BA" w:rsidRPr="00A5659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правил содержания и благоустройства территории </w:t>
      </w:r>
      <w:proofErr w:type="spellStart"/>
      <w:r w:rsidR="00A56596" w:rsidRPr="00A56596">
        <w:rPr>
          <w:rFonts w:ascii="Times New Roman" w:hAnsi="Times New Roman" w:cs="Times New Roman"/>
          <w:sz w:val="28"/>
          <w:szCs w:val="28"/>
          <w:lang w:eastAsia="ru-RU"/>
        </w:rPr>
        <w:t>Тофаларского</w:t>
      </w:r>
      <w:proofErr w:type="spellEnd"/>
      <w:r w:rsidR="00EC60BA" w:rsidRPr="00A565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C60BA" w:rsidRPr="00A56596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3. Опубликовать настоящее решение в «Вестнике </w:t>
      </w:r>
      <w:proofErr w:type="spellStart"/>
      <w:r w:rsidR="00A56596">
        <w:rPr>
          <w:sz w:val="28"/>
          <w:szCs w:val="28"/>
        </w:rPr>
        <w:t>Тофаларского</w:t>
      </w:r>
      <w:proofErr w:type="spellEnd"/>
      <w:r w:rsidRPr="00EC60BA"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A56596">
        <w:rPr>
          <w:sz w:val="28"/>
          <w:szCs w:val="28"/>
        </w:rPr>
        <w:t>Тофаларского</w:t>
      </w:r>
      <w:proofErr w:type="spellEnd"/>
      <w:r w:rsidRPr="00EC60BA">
        <w:rPr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A56596">
      <w:pPr>
        <w:pStyle w:val="ConsPlusNormal0"/>
        <w:tabs>
          <w:tab w:val="left" w:pos="7380"/>
        </w:tabs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Председатель Думы </w:t>
      </w:r>
      <w:r w:rsidR="00A56596">
        <w:rPr>
          <w:sz w:val="28"/>
          <w:szCs w:val="28"/>
        </w:rPr>
        <w:tab/>
        <w:t>Г.Н. Бураков</w:t>
      </w:r>
    </w:p>
    <w:p w:rsidR="00EC60BA" w:rsidRPr="00EC60BA" w:rsidRDefault="00A56596" w:rsidP="00EC60BA">
      <w:pPr>
        <w:pStyle w:val="ConsPlusNormal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Тофаларского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 </w:t>
      </w: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A56596">
      <w:pPr>
        <w:pStyle w:val="ConsPlusNormal0"/>
        <w:tabs>
          <w:tab w:val="left" w:pos="7380"/>
        </w:tabs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Глава </w:t>
      </w:r>
      <w:proofErr w:type="spellStart"/>
      <w:proofErr w:type="gramStart"/>
      <w:r w:rsidR="00A56596">
        <w:rPr>
          <w:sz w:val="28"/>
          <w:szCs w:val="28"/>
        </w:rPr>
        <w:t>Тофаларского</w:t>
      </w:r>
      <w:proofErr w:type="spellEnd"/>
      <w:proofErr w:type="gramEnd"/>
      <w:r w:rsidR="00A56596" w:rsidRPr="00A56596">
        <w:rPr>
          <w:sz w:val="28"/>
          <w:szCs w:val="28"/>
        </w:rPr>
        <w:t xml:space="preserve"> </w:t>
      </w:r>
      <w:r w:rsidR="00A56596">
        <w:rPr>
          <w:sz w:val="28"/>
          <w:szCs w:val="28"/>
        </w:rPr>
        <w:t xml:space="preserve">                                                            Г.Н. Бураков</w:t>
      </w:r>
    </w:p>
    <w:p w:rsidR="00EC60BA" w:rsidRPr="00EC60BA" w:rsidRDefault="00EC60BA" w:rsidP="00A56596">
      <w:pPr>
        <w:pStyle w:val="ConsPlusNormal0"/>
        <w:tabs>
          <w:tab w:val="left" w:pos="7965"/>
        </w:tabs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муниципального образования  </w:t>
      </w:r>
      <w:r w:rsidR="00A56596"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A56596">
        <w:trPr>
          <w:trHeight w:val="160"/>
        </w:trPr>
        <w:tc>
          <w:tcPr>
            <w:tcW w:w="4916" w:type="dxa"/>
          </w:tcPr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A56596" w:rsidRDefault="00A56596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C6325F" w:rsidRPr="00A56596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УТВЕРЖДЕН</w:t>
            </w:r>
            <w:r w:rsidR="0076002E"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EC60BA" w:rsidRPr="00A56596" w:rsidRDefault="00C6325F" w:rsidP="00EC60B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EC60BA"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="00A56596"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Тофаларского</w:t>
            </w:r>
            <w:proofErr w:type="spellEnd"/>
            <w:r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</w:t>
            </w:r>
            <w:r w:rsidR="00B961D5"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</w:p>
          <w:p w:rsidR="00C6325F" w:rsidRPr="00A56596" w:rsidRDefault="00C6325F" w:rsidP="00EC60B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A565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________ 20___ г. № ___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85B72" w:rsidRDefault="00A56596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ТОФАЛАРСКОГО</w:t>
      </w:r>
      <w:r w:rsidR="00EB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proofErr w:type="spellStart"/>
      <w:r w:rsidR="00A56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Тофаларского</w:t>
      </w:r>
      <w:proofErr w:type="spellEnd"/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Уставом </w:t>
      </w:r>
      <w:proofErr w:type="spellStart"/>
      <w:r w:rsidR="00A56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Тофаларского</w:t>
      </w:r>
      <w:proofErr w:type="spellEnd"/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6B159C" w:rsidRPr="00085B72" w:rsidRDefault="006B159C" w:rsidP="00EB36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0ED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65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6B159C" w:rsidRPr="00085B72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Администрация </w:t>
      </w:r>
      <w:proofErr w:type="spellStart"/>
      <w:r w:rsidR="00A5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Тофаларского</w:t>
      </w:r>
      <w:proofErr w:type="spellEnd"/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3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A63B65" w:rsidRPr="00375588" w:rsidRDefault="006B159C" w:rsidP="00A63B65">
      <w:pPr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A56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Тофаларского</w:t>
      </w:r>
      <w:proofErr w:type="spellEnd"/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6529EA" w:rsidRPr="00A56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A5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6529EA" w:rsidRPr="00A5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A63B65" w:rsidRPr="00A5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B65" w:rsidRPr="00A5659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63B65" w:rsidRPr="00A56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6596" w:rsidRPr="00A56596">
        <w:rPr>
          <w:rFonts w:ascii="Times New Roman" w:hAnsi="Times New Roman" w:cs="Times New Roman"/>
          <w:sz w:val="28"/>
          <w:szCs w:val="28"/>
          <w:lang w:val="en-US"/>
        </w:rPr>
        <w:t>tofalarskoe</w:t>
      </w:r>
      <w:proofErr w:type="spellEnd"/>
      <w:r w:rsidR="00A63B65" w:rsidRPr="00A56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3B65" w:rsidRPr="00A565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63B65" w:rsidRPr="00A56596">
        <w:rPr>
          <w:rFonts w:ascii="Times New Roman" w:hAnsi="Times New Roman" w:cs="Times New Roman"/>
          <w:sz w:val="28"/>
          <w:szCs w:val="28"/>
        </w:rPr>
        <w:t>.;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прилегающих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4CBA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="00C24CBA"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85B72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4CB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5" w:name="sub_55"/>
      <w:r w:rsidR="00C24CBA"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85B72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6" w:name="sub_56"/>
      <w:bookmarkEnd w:id="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совпадения (наложения) границ территорий, прилегающих к зданиям, строениям, сооружениям, земельным участкам, границы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прилегающих территорий устанавливаются на равном удалении от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7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8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bookmarkEnd w:id="7"/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</w:t>
      </w:r>
      <w:r w:rsid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8A21F5" w:rsidRDefault="006B159C" w:rsidP="008712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72">
        <w:rPr>
          <w:rFonts w:ascii="Times New Roman" w:hAnsi="Times New Roman" w:cs="Times New Roman"/>
          <w:color w:val="000000"/>
          <w:sz w:val="28"/>
          <w:szCs w:val="28"/>
        </w:rPr>
        <w:t xml:space="preserve">4.25. </w:t>
      </w:r>
      <w:r w:rsidR="00871208" w:rsidRPr="00871208">
        <w:rPr>
          <w:rFonts w:ascii="Times New Roman" w:hAnsi="Times New Roman" w:cs="Times New Roman"/>
          <w:sz w:val="28"/>
          <w:szCs w:val="28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871208" w:rsidRPr="008A21F5">
        <w:rPr>
          <w:rFonts w:ascii="Times New Roman" w:hAnsi="Times New Roman" w:cs="Times New Roman"/>
          <w:sz w:val="28"/>
          <w:szCs w:val="28"/>
        </w:rPr>
        <w:t xml:space="preserve">Правила содержания собак и иных домашних животных на территории </w:t>
      </w:r>
      <w:proofErr w:type="spellStart"/>
      <w:r w:rsidR="00A56596" w:rsidRPr="008A21F5">
        <w:rPr>
          <w:rFonts w:ascii="Times New Roman" w:hAnsi="Times New Roman" w:cs="Times New Roman"/>
          <w:sz w:val="28"/>
          <w:szCs w:val="28"/>
        </w:rPr>
        <w:lastRenderedPageBreak/>
        <w:t>Тофаларского</w:t>
      </w:r>
      <w:proofErr w:type="spellEnd"/>
      <w:r w:rsidR="00871208" w:rsidRPr="008A21F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71208" w:rsidRPr="00871208">
        <w:rPr>
          <w:rFonts w:ascii="Times New Roman" w:hAnsi="Times New Roman" w:cs="Times New Roman"/>
          <w:sz w:val="28"/>
          <w:szCs w:val="28"/>
        </w:rPr>
        <w:t>утвержденные решением Дум</w:t>
      </w:r>
      <w:r w:rsidR="00871208" w:rsidRPr="008A21F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A56596" w:rsidRPr="008A21F5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871208" w:rsidRPr="008A21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A21F5" w:rsidRPr="008A21F5">
        <w:rPr>
          <w:rFonts w:ascii="Times New Roman" w:hAnsi="Times New Roman" w:cs="Times New Roman"/>
          <w:sz w:val="28"/>
          <w:szCs w:val="28"/>
        </w:rPr>
        <w:t>16.04.2021</w:t>
      </w:r>
      <w:r w:rsidR="00871208" w:rsidRPr="008A21F5">
        <w:rPr>
          <w:rFonts w:ascii="Times New Roman" w:hAnsi="Times New Roman" w:cs="Times New Roman"/>
          <w:sz w:val="28"/>
          <w:szCs w:val="28"/>
        </w:rPr>
        <w:t xml:space="preserve"> г.</w:t>
      </w:r>
      <w:r w:rsidR="008A21F5" w:rsidRPr="008A21F5">
        <w:rPr>
          <w:rFonts w:ascii="Times New Roman" w:hAnsi="Times New Roman" w:cs="Times New Roman"/>
          <w:sz w:val="28"/>
          <w:szCs w:val="28"/>
        </w:rPr>
        <w:t xml:space="preserve"> №20/1</w:t>
      </w:r>
      <w:r w:rsidR="00871208" w:rsidRPr="008A21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домашних жи</w:t>
      </w:r>
      <w:bookmarkStart w:id="10" w:name="_GoBack"/>
      <w:bookmarkEnd w:id="10"/>
      <w:r w:rsidRPr="008A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на территории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2" w:name="6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3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10"/>
      <w:bookmarkEnd w:id="19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функционирующих в конкретном пространстве населенного пункта или световом ансамбле.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7.40. В целях защиты малых архитектурных форм от графического вандализма следует: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Тротуары, аллеи, пешеходные дорожки и тропинки (далее - пешеходные коммуникации) на территории жилой застройки проектируются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создания основных и второстепенных пешеходных коммуникаций.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альтернативных пешеходных маршрутов между двумя любыми точками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8.16. Для эффективного использования велосипедных коммуникаций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разрешается предусматривать: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СанПиН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2.2.1/2.1.1.1200-03 «Санитарно-защитные зоны и санитарная классификация предприятий, сооружений и иных объектов».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удобным для регулярной уборки и обновления.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2B0B8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</w:t>
      </w:r>
      <w:r w:rsidR="00A6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="00A63597" w:rsidRPr="002B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 w:rsidR="00A63597" w:rsidRPr="002B0B84">
        <w:rPr>
          <w:rFonts w:ascii="Times New Roman" w:hAnsi="Times New Roman" w:cs="Times New Roman"/>
          <w:sz w:val="28"/>
          <w:szCs w:val="28"/>
        </w:rPr>
        <w:t xml:space="preserve">содержания, выпаса и прогона сельскохозяйственных животных и птицы на территории  </w:t>
      </w:r>
      <w:proofErr w:type="spellStart"/>
      <w:r w:rsidR="00A56596" w:rsidRPr="002B0B84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A63597" w:rsidRPr="002B0B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proofErr w:type="spellStart"/>
      <w:r w:rsidR="00A56596" w:rsidRPr="002B0B84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A63597" w:rsidRPr="002B0B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утвержденных постановлением администрации </w:t>
      </w:r>
      <w:proofErr w:type="spellStart"/>
      <w:r w:rsidR="00A56596" w:rsidRPr="002B0B84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A63597" w:rsidRPr="002B0B84">
        <w:rPr>
          <w:rFonts w:ascii="Times New Roman" w:hAnsi="Times New Roman" w:cs="Times New Roman"/>
          <w:sz w:val="28"/>
          <w:szCs w:val="28"/>
        </w:rPr>
        <w:t xml:space="preserve"> м</w:t>
      </w:r>
      <w:r w:rsidR="002B0B84" w:rsidRPr="002B0B84">
        <w:rPr>
          <w:rFonts w:ascii="Times New Roman" w:hAnsi="Times New Roman" w:cs="Times New Roman"/>
          <w:sz w:val="28"/>
          <w:szCs w:val="28"/>
        </w:rPr>
        <w:t>униципального образования  от 16.04.2021 г. № 20/1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85B72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</w:t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2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6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28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29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Иркутской области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(структурным подразделением (его должностным лицом) управления ГИБДД)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</w:t>
      </w:r>
      <w:r w:rsidR="0056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5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6"/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4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7"/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8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="000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1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12"/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3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3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5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6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7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49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</w:t>
      </w:r>
      <w:r w:rsidR="00172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восстановление производится в пределах территории,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пределах  населенного пункта,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произведена вырубка, с высадкой деревьев.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</w:t>
      </w:r>
      <w:r w:rsidR="00172E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761E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абзаце 1 пункта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.1, 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.3. Лица, указанные в пункте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</w:t>
      </w:r>
      <w:proofErr w:type="spellEnd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Иркутской области</w:t>
      </w:r>
      <w:r w:rsid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  <w:r w:rsidR="008B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птиц.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индивидуальные договоры на оказание услуг по выпасу сельскохозяйственных животных (далее - пастух).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E42F7A" w:rsidRDefault="006B159C" w:rsidP="00E42F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предусмотренных пунктами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настоящих Правил, выпас сельскохозяйственных животных 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птиц осуществляется в соответствии с Правилами </w:t>
      </w:r>
      <w:r w:rsidR="00E42F7A" w:rsidRPr="00E42F7A">
        <w:rPr>
          <w:rFonts w:ascii="Times New Roman" w:hAnsi="Times New Roman" w:cs="Times New Roman"/>
          <w:sz w:val="28"/>
          <w:szCs w:val="28"/>
        </w:rPr>
        <w:t>содержания, выпаса и прогона</w:t>
      </w:r>
      <w:r w:rsidR="00E42F7A">
        <w:rPr>
          <w:rFonts w:ascii="Times New Roman" w:hAnsi="Times New Roman" w:cs="Times New Roman"/>
          <w:sz w:val="28"/>
          <w:szCs w:val="28"/>
        </w:rPr>
        <w:t xml:space="preserve"> </w:t>
      </w:r>
      <w:r w:rsidR="00E42F7A" w:rsidRPr="00E42F7A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="00E42F7A">
        <w:rPr>
          <w:rFonts w:ascii="Times New Roman" w:hAnsi="Times New Roman" w:cs="Times New Roman"/>
          <w:sz w:val="28"/>
          <w:szCs w:val="28"/>
        </w:rPr>
        <w:t xml:space="preserve"> н</w:t>
      </w:r>
      <w:r w:rsidR="00E42F7A" w:rsidRPr="00E42F7A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proofErr w:type="spellStart"/>
      <w:r w:rsidR="00A56596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proofErr w:type="spellStart"/>
      <w:r w:rsidR="00A56596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2F7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proofErr w:type="spellStart"/>
      <w:r w:rsidR="00A56596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00.04.2021 г. № ___(далее-Правила содержания, выпаса</w:t>
      </w:r>
      <w:proofErr w:type="gramEnd"/>
      <w:r w:rsidR="00E42F7A">
        <w:rPr>
          <w:rFonts w:ascii="Times New Roman" w:hAnsi="Times New Roman" w:cs="Times New Roman"/>
          <w:sz w:val="28"/>
          <w:szCs w:val="28"/>
        </w:rPr>
        <w:t xml:space="preserve"> и прогона)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определенными Правилами содержания, выпаса и прогона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4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C" w:rsidRP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0A8C">
        <w:rPr>
          <w:rFonts w:ascii="Times New Roman" w:hAnsi="Times New Roman" w:cs="Times New Roman"/>
          <w:b/>
          <w:sz w:val="28"/>
          <w:szCs w:val="28"/>
        </w:rPr>
        <w:t>. Содержание территории жилых домов частного жилищного фонда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A8C">
        <w:rPr>
          <w:rFonts w:ascii="Times New Roman" w:hAnsi="Times New Roman" w:cs="Times New Roman"/>
          <w:sz w:val="28"/>
          <w:szCs w:val="28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.2. установить на жилом доме знаки адресации и поддерживать его в исправном состоянии;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.3. очищать канавы и трубы для стока воды, в весенний период обеспечивать проход талых вод;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.4. складировать счищенный с прилегающей территории снег таким образом, чтобы был обеспечен проезд транспорта;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085B72" w:rsidRDefault="00430A8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7A" w:rsidRPr="00E42F7A" w:rsidRDefault="00E42F7A" w:rsidP="00E42F7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E42F7A">
        <w:rPr>
          <w:b/>
          <w:bCs/>
          <w:sz w:val="28"/>
          <w:szCs w:val="28"/>
        </w:rPr>
        <w:t xml:space="preserve"> 2</w:t>
      </w:r>
      <w:r w:rsidR="00430A8C">
        <w:rPr>
          <w:b/>
          <w:bCs/>
          <w:sz w:val="28"/>
          <w:szCs w:val="28"/>
        </w:rPr>
        <w:t>1</w:t>
      </w:r>
      <w:r w:rsidRPr="00E42F7A">
        <w:rPr>
          <w:b/>
          <w:bCs/>
          <w:sz w:val="28"/>
          <w:szCs w:val="28"/>
        </w:rPr>
        <w:t xml:space="preserve">. Порядок </w:t>
      </w:r>
      <w:proofErr w:type="gramStart"/>
      <w:r w:rsidRPr="00E42F7A">
        <w:rPr>
          <w:b/>
          <w:bCs/>
          <w:sz w:val="28"/>
          <w:szCs w:val="28"/>
        </w:rPr>
        <w:t>контроля за</w:t>
      </w:r>
      <w:proofErr w:type="gramEnd"/>
      <w:r w:rsidRPr="00E42F7A">
        <w:rPr>
          <w:b/>
          <w:bCs/>
          <w:sz w:val="28"/>
          <w:szCs w:val="28"/>
        </w:rPr>
        <w:t xml:space="preserve"> соблюдением Правил благоустройства</w:t>
      </w:r>
    </w:p>
    <w:p w:rsidR="00E42F7A" w:rsidRPr="00E42F7A" w:rsidRDefault="00E42F7A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1. Контроль соблюдения настоящих Правил осуществляет </w:t>
      </w:r>
      <w:r w:rsidR="00430A8C">
        <w:rPr>
          <w:sz w:val="28"/>
          <w:szCs w:val="28"/>
        </w:rPr>
        <w:t>а</w:t>
      </w:r>
      <w:r w:rsidRPr="00E42F7A">
        <w:rPr>
          <w:sz w:val="28"/>
          <w:szCs w:val="28"/>
        </w:rPr>
        <w:t xml:space="preserve">дминистрация </w:t>
      </w:r>
      <w:proofErr w:type="spellStart"/>
      <w:r w:rsidR="00A56596">
        <w:rPr>
          <w:sz w:val="28"/>
          <w:szCs w:val="28"/>
        </w:rPr>
        <w:t>Тофаларского</w:t>
      </w:r>
      <w:proofErr w:type="spellEnd"/>
      <w:r w:rsidRPr="00E42F7A">
        <w:rPr>
          <w:sz w:val="28"/>
          <w:szCs w:val="28"/>
        </w:rPr>
        <w:t xml:space="preserve"> </w:t>
      </w:r>
      <w:r w:rsidR="00430A8C" w:rsidRPr="00430A8C">
        <w:rPr>
          <w:color w:val="auto"/>
          <w:sz w:val="28"/>
          <w:szCs w:val="28"/>
        </w:rPr>
        <w:t>муниципального образования</w:t>
      </w:r>
      <w:r w:rsidRPr="00E42F7A">
        <w:rPr>
          <w:sz w:val="28"/>
          <w:szCs w:val="28"/>
        </w:rPr>
        <w:t xml:space="preserve">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  <w:r w:rsidRPr="00E42F7A">
        <w:rPr>
          <w:sz w:val="28"/>
          <w:szCs w:val="28"/>
        </w:rPr>
        <w:t xml:space="preserve">        </w:t>
      </w:r>
      <w:r w:rsidR="00EE24FC"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 w:rsidR="00EE24FC"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выдать предписание об устранении нарушений;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F7A" w:rsidRPr="00E42F7A">
        <w:rPr>
          <w:sz w:val="28"/>
          <w:szCs w:val="28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</w:t>
      </w:r>
      <w:r w:rsidR="00E42F7A" w:rsidRPr="00E42F7A">
        <w:rPr>
          <w:sz w:val="28"/>
          <w:szCs w:val="28"/>
        </w:rPr>
        <w:lastRenderedPageBreak/>
        <w:t xml:space="preserve">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</w:p>
    <w:p w:rsidR="00E42F7A" w:rsidRPr="00E42F7A" w:rsidRDefault="00EE24FC" w:rsidP="00EE24FC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42F7A" w:rsidRPr="00E42F7A">
        <w:rPr>
          <w:b/>
          <w:bCs/>
          <w:sz w:val="28"/>
          <w:szCs w:val="28"/>
        </w:rPr>
        <w:t>2</w:t>
      </w:r>
      <w:r w:rsidR="00430A8C">
        <w:rPr>
          <w:b/>
          <w:bCs/>
          <w:sz w:val="28"/>
          <w:szCs w:val="28"/>
        </w:rPr>
        <w:t>2</w:t>
      </w:r>
      <w:r w:rsidR="00E42F7A" w:rsidRPr="00E42F7A">
        <w:rPr>
          <w:b/>
          <w:bCs/>
          <w:sz w:val="28"/>
          <w:szCs w:val="28"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E42F7A" w:rsidRDefault="00E42F7A" w:rsidP="00E42F7A">
      <w:pPr>
        <w:pStyle w:val="Default"/>
        <w:ind w:firstLine="567"/>
        <w:jc w:val="center"/>
        <w:rPr>
          <w:sz w:val="28"/>
          <w:szCs w:val="28"/>
        </w:rPr>
      </w:pP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E42F7A" w:rsidRDefault="00EE24FC" w:rsidP="00EE24FC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E42F7A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E42F7A" w:rsidSect="00A565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39" w:rsidRDefault="002B3139" w:rsidP="0022438A">
      <w:pPr>
        <w:spacing w:after="0" w:line="240" w:lineRule="auto"/>
      </w:pPr>
      <w:r>
        <w:separator/>
      </w:r>
    </w:p>
  </w:endnote>
  <w:endnote w:type="continuationSeparator" w:id="0">
    <w:p w:rsidR="002B3139" w:rsidRDefault="002B313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39" w:rsidRDefault="002B3139" w:rsidP="0022438A">
      <w:pPr>
        <w:spacing w:after="0" w:line="240" w:lineRule="auto"/>
      </w:pPr>
      <w:r>
        <w:separator/>
      </w:r>
    </w:p>
  </w:footnote>
  <w:footnote w:type="continuationSeparator" w:id="0">
    <w:p w:rsidR="002B3139" w:rsidRDefault="002B3139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B0B84"/>
    <w:rsid w:val="002B3139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4A39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1F5"/>
    <w:rsid w:val="008A24C2"/>
    <w:rsid w:val="008A7B04"/>
    <w:rsid w:val="008B631C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6596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784C-3CE8-49C8-B860-9BD27DC9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23407</Words>
  <Characters>133425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Asus</cp:lastModifiedBy>
  <cp:revision>2</cp:revision>
  <cp:lastPrinted>2022-01-10T04:11:00Z</cp:lastPrinted>
  <dcterms:created xsi:type="dcterms:W3CDTF">2022-11-16T05:07:00Z</dcterms:created>
  <dcterms:modified xsi:type="dcterms:W3CDTF">2022-11-16T05:07:00Z</dcterms:modified>
</cp:coreProperties>
</file>